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eastAsia="楷体_GB2312"/>
          <w:sz w:val="24"/>
          <w:szCs w:val="24"/>
        </w:rPr>
      </w:pPr>
    </w:p>
    <w:p>
      <w:pPr>
        <w:spacing w:line="480" w:lineRule="auto"/>
        <w:jc w:val="center"/>
        <w:rPr>
          <w:rFonts w:eastAsia="楷体_GB2312"/>
          <w:sz w:val="24"/>
          <w:szCs w:val="24"/>
        </w:rPr>
      </w:pPr>
    </w:p>
    <w:p>
      <w:pPr>
        <w:spacing w:line="480" w:lineRule="auto"/>
        <w:jc w:val="center"/>
        <w:rPr>
          <w:rFonts w:eastAsia="楷体_GB2312"/>
          <w:sz w:val="48"/>
          <w:szCs w:val="48"/>
        </w:rPr>
      </w:pPr>
      <w:r>
        <w:rPr>
          <w:rFonts w:hint="eastAsia" w:eastAsia="楷体_GB2312" w:cs="楷体_GB2312"/>
          <w:sz w:val="48"/>
          <w:szCs w:val="48"/>
        </w:rPr>
        <w:t>中山大学管理学院</w:t>
      </w:r>
    </w:p>
    <w:p>
      <w:pPr>
        <w:spacing w:line="480" w:lineRule="auto"/>
        <w:jc w:val="center"/>
        <w:rPr>
          <w:rFonts w:eastAsia="楷体_GB2312"/>
          <w:sz w:val="44"/>
          <w:szCs w:val="44"/>
        </w:rPr>
      </w:pPr>
      <w:r>
        <w:rPr>
          <w:rFonts w:hint="eastAsia" w:eastAsia="楷体_GB2312" w:cs="楷体_GB2312"/>
          <w:sz w:val="44"/>
          <w:szCs w:val="44"/>
        </w:rPr>
        <w:t>金融硕士（</w:t>
      </w:r>
      <w:r>
        <w:rPr>
          <w:rFonts w:eastAsia="楷体_GB2312"/>
          <w:sz w:val="44"/>
          <w:szCs w:val="44"/>
        </w:rPr>
        <w:t>MF</w:t>
      </w:r>
      <w:r>
        <w:rPr>
          <w:rFonts w:hint="eastAsia" w:eastAsia="楷体_GB2312" w:cs="楷体_GB2312"/>
          <w:sz w:val="44"/>
          <w:szCs w:val="44"/>
        </w:rPr>
        <w:t>）学位论文评阅书</w:t>
      </w:r>
    </w:p>
    <w:p>
      <w:pPr>
        <w:spacing w:line="480" w:lineRule="auto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 xml:space="preserve">                 </w:t>
      </w:r>
    </w:p>
    <w:p>
      <w:pPr>
        <w:spacing w:line="480" w:lineRule="auto"/>
        <w:rPr>
          <w:rFonts w:eastAsia="楷体_GB2312"/>
          <w:sz w:val="32"/>
          <w:szCs w:val="32"/>
        </w:rPr>
      </w:pPr>
    </w:p>
    <w:p>
      <w:pPr>
        <w:spacing w:line="480" w:lineRule="auto"/>
        <w:rPr>
          <w:rFonts w:eastAsia="楷体_GB2312"/>
          <w:sz w:val="28"/>
          <w:szCs w:val="28"/>
          <w:u w:val="single"/>
        </w:rPr>
      </w:pPr>
    </w:p>
    <w:p>
      <w:pPr>
        <w:spacing w:line="480" w:lineRule="auto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 xml:space="preserve">              </w:t>
      </w:r>
      <w:r>
        <w:rPr>
          <w:rFonts w:hint="eastAsia" w:eastAsia="楷体_GB2312" w:cs="楷体_GB2312"/>
          <w:sz w:val="30"/>
          <w:szCs w:val="30"/>
        </w:rPr>
        <w:t>论文编号：</w:t>
      </w:r>
    </w:p>
    <w:p>
      <w:pPr>
        <w:spacing w:line="480" w:lineRule="auto"/>
        <w:ind w:firstLine="2100" w:firstLineChars="700"/>
        <w:rPr>
          <w:rFonts w:eastAsia="楷体_GB2312"/>
          <w:sz w:val="30"/>
          <w:szCs w:val="30"/>
        </w:rPr>
      </w:pPr>
      <w:r>
        <w:rPr>
          <w:rFonts w:hint="eastAsia" w:eastAsia="楷体_GB2312" w:cs="楷体_GB2312"/>
          <w:sz w:val="30"/>
          <w:szCs w:val="30"/>
        </w:rPr>
        <w:t>评阅人信息：</w:t>
      </w:r>
    </w:p>
    <w:p>
      <w:pPr>
        <w:spacing w:line="48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姓名：</w:t>
      </w:r>
    </w:p>
    <w:p>
      <w:pPr>
        <w:spacing w:line="480" w:lineRule="auto"/>
        <w:ind w:firstLine="1960" w:firstLineChars="7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 xml:space="preserve">    </w:t>
      </w:r>
      <w:r>
        <w:rPr>
          <w:rFonts w:hint="eastAsia" w:eastAsia="楷体_GB2312" w:cs="楷体_GB2312"/>
          <w:sz w:val="28"/>
          <w:szCs w:val="28"/>
        </w:rPr>
        <w:t>职称：</w:t>
      </w:r>
    </w:p>
    <w:p>
      <w:pPr>
        <w:spacing w:line="42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学科专长：</w:t>
      </w:r>
    </w:p>
    <w:p>
      <w:pPr>
        <w:spacing w:line="42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对论文所涉领域（请画圈）：</w:t>
      </w:r>
    </w:p>
    <w:p>
      <w:pPr>
        <w:spacing w:line="420" w:lineRule="auto"/>
        <w:ind w:firstLine="3080" w:firstLineChars="1100"/>
        <w:rPr>
          <w:rFonts w:eastAsia="楷体_GB2312"/>
          <w:color w:val="000000"/>
          <w:sz w:val="28"/>
          <w:szCs w:val="28"/>
        </w:rPr>
      </w:pPr>
      <w:r>
        <w:rPr>
          <w:rFonts w:eastAsia="楷体_GB2312"/>
          <w:sz w:val="28"/>
          <w:szCs w:val="28"/>
        </w:rPr>
        <w:t xml:space="preserve"> </w:t>
      </w:r>
      <w:r>
        <w:rPr>
          <w:rFonts w:hint="eastAsia" w:eastAsia="楷体_GB2312" w:cs="楷体_GB2312"/>
          <w:color w:val="000000"/>
        </w:rPr>
        <w:t>基本熟悉</w:t>
      </w:r>
      <w:r>
        <w:rPr>
          <w:rFonts w:eastAsia="楷体_GB2312"/>
          <w:color w:val="000000"/>
        </w:rPr>
        <w:t xml:space="preserve">    </w:t>
      </w:r>
      <w:r>
        <w:rPr>
          <w:rFonts w:hint="eastAsia" w:eastAsia="楷体_GB2312" w:cs="楷体_GB2312"/>
          <w:color w:val="000000"/>
        </w:rPr>
        <w:t>熟悉</w:t>
      </w:r>
      <w:r>
        <w:rPr>
          <w:rFonts w:eastAsia="楷体_GB2312"/>
          <w:color w:val="000000"/>
        </w:rPr>
        <w:t xml:space="preserve">   </w:t>
      </w:r>
      <w:r>
        <w:rPr>
          <w:rFonts w:hint="eastAsia" w:eastAsia="楷体_GB2312" w:cs="楷体_GB2312"/>
          <w:color w:val="000000"/>
        </w:rPr>
        <w:t>较熟悉</w:t>
      </w:r>
    </w:p>
    <w:p>
      <w:pPr>
        <w:spacing w:line="42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所在单位：</w:t>
      </w:r>
    </w:p>
    <w:p>
      <w:pPr>
        <w:spacing w:line="42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联系地址：</w:t>
      </w:r>
    </w:p>
    <w:p>
      <w:pPr>
        <w:spacing w:line="42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邮政编码：</w:t>
      </w:r>
    </w:p>
    <w:p>
      <w:pPr>
        <w:spacing w:line="420" w:lineRule="auto"/>
        <w:ind w:firstLine="2520" w:firstLineChars="900"/>
        <w:rPr>
          <w:rFonts w:eastAsia="楷体_GB2312"/>
          <w:sz w:val="28"/>
          <w:szCs w:val="28"/>
        </w:rPr>
      </w:pPr>
      <w:r>
        <w:rPr>
          <w:rFonts w:hint="eastAsia" w:eastAsia="楷体_GB2312" w:cs="楷体_GB2312"/>
          <w:sz w:val="28"/>
          <w:szCs w:val="28"/>
        </w:rPr>
        <w:t>联系电话：</w:t>
      </w:r>
      <w:r>
        <w:rPr>
          <w:rFonts w:eastAsia="楷体_GB2312"/>
          <w:sz w:val="24"/>
          <w:szCs w:val="24"/>
        </w:rPr>
        <w:t xml:space="preserve"> </w:t>
      </w:r>
    </w:p>
    <w:p>
      <w:pPr>
        <w:spacing w:line="480" w:lineRule="auto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 xml:space="preserve">                  </w:t>
      </w:r>
    </w:p>
    <w:p>
      <w:pPr>
        <w:jc w:val="center"/>
        <w:rPr>
          <w:rFonts w:eastAsia="楷体_GB2312"/>
          <w:sz w:val="30"/>
          <w:szCs w:val="30"/>
        </w:rPr>
      </w:pPr>
      <w:r>
        <w:rPr>
          <w:rFonts w:hint="eastAsia" w:eastAsia="楷体_GB2312" w:cs="楷体_GB2312"/>
          <w:sz w:val="30"/>
          <w:szCs w:val="30"/>
        </w:rPr>
        <w:t>年</w:t>
      </w:r>
      <w:r>
        <w:rPr>
          <w:rFonts w:eastAsia="楷体_GB2312"/>
          <w:sz w:val="30"/>
          <w:szCs w:val="30"/>
        </w:rPr>
        <w:t xml:space="preserve">     </w:t>
      </w:r>
      <w:r>
        <w:rPr>
          <w:rFonts w:hint="eastAsia" w:eastAsia="楷体_GB2312" w:cs="楷体_GB2312"/>
          <w:sz w:val="30"/>
          <w:szCs w:val="30"/>
        </w:rPr>
        <w:t>月</w:t>
      </w:r>
      <w:r>
        <w:rPr>
          <w:rFonts w:eastAsia="楷体_GB2312"/>
          <w:sz w:val="30"/>
          <w:szCs w:val="30"/>
        </w:rPr>
        <w:t xml:space="preserve">     </w:t>
      </w:r>
      <w:r>
        <w:rPr>
          <w:rFonts w:hint="eastAsia" w:eastAsia="楷体_GB2312" w:cs="楷体_GB2312"/>
          <w:sz w:val="30"/>
          <w:szCs w:val="30"/>
        </w:rPr>
        <w:t>日</w:t>
      </w:r>
    </w:p>
    <w:p>
      <w:pPr>
        <w:spacing w:line="360" w:lineRule="auto"/>
        <w:ind w:firstLine="570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ind w:firstLine="570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ind w:firstLine="570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ind w:firstLine="570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ind w:firstLine="570"/>
        <w:jc w:val="center"/>
        <w:rPr>
          <w:rFonts w:ascii="黑体" w:hAnsi="黑体" w:eastAsia="黑体"/>
        </w:rPr>
      </w:pPr>
      <w:r>
        <w:rPr>
          <w:rFonts w:hint="eastAsia" w:ascii="黑体" w:hAnsi="黑体" w:eastAsia="黑体" w:cs="黑体"/>
          <w:sz w:val="44"/>
          <w:szCs w:val="44"/>
        </w:rPr>
        <w:t>中山大学金融硕士</w:t>
      </w:r>
      <w:r>
        <w:rPr>
          <w:rFonts w:ascii="黑体" w:hAnsi="黑体" w:eastAsia="黑体" w:cs="黑体"/>
          <w:sz w:val="44"/>
          <w:szCs w:val="44"/>
        </w:rPr>
        <w:t>(MF</w:t>
      </w:r>
      <w:r>
        <w:rPr>
          <w:rFonts w:hint="eastAsia" w:ascii="黑体" w:hAnsi="黑体" w:eastAsia="黑体" w:cs="黑体"/>
          <w:sz w:val="44"/>
          <w:szCs w:val="44"/>
        </w:rPr>
        <w:t>）</w:t>
      </w:r>
    </w:p>
    <w:p>
      <w:pPr>
        <w:spacing w:line="360" w:lineRule="auto"/>
        <w:ind w:firstLine="570"/>
        <w:jc w:val="center"/>
        <w:rPr>
          <w:rFonts w:ascii="黑体" w:hAnsi="黑体" w:eastAsia="黑体"/>
        </w:rPr>
      </w:pPr>
    </w:p>
    <w:p>
      <w:pPr>
        <w:spacing w:line="360" w:lineRule="auto"/>
        <w:ind w:firstLine="57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论文评阅书</w:t>
      </w:r>
    </w:p>
    <w:tbl>
      <w:tblPr>
        <w:tblStyle w:val="11"/>
        <w:tblW w:w="10186" w:type="dxa"/>
        <w:tblInd w:w="3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673"/>
        <w:gridCol w:w="559"/>
        <w:gridCol w:w="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</w:trPr>
        <w:tc>
          <w:tcPr>
            <w:tcW w:w="10186" w:type="dxa"/>
            <w:gridSpan w:val="4"/>
          </w:tcPr>
          <w:p>
            <w:pPr>
              <w:spacing w:before="120" w:line="480" w:lineRule="auto"/>
              <w:rPr>
                <w:rFonts w:eastAsia="楷体_GB2312"/>
                <w:b/>
                <w:bCs/>
                <w:sz w:val="24"/>
                <w:szCs w:val="24"/>
              </w:rPr>
            </w:pPr>
            <w:r>
              <w:br w:type="page"/>
            </w:r>
            <w:r>
              <w:rPr>
                <w:rFonts w:eastAsia="楷体_GB2312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论文题目：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240" w:lineRule="atLeas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评价项目</w:t>
            </w:r>
          </w:p>
        </w:tc>
        <w:tc>
          <w:tcPr>
            <w:tcW w:w="7673" w:type="dxa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评价要素</w:t>
            </w:r>
          </w:p>
        </w:tc>
        <w:tc>
          <w:tcPr>
            <w:tcW w:w="559" w:type="dxa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满分</w:t>
            </w:r>
          </w:p>
        </w:tc>
        <w:tc>
          <w:tcPr>
            <w:tcW w:w="536" w:type="dxa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论文选题</w:t>
            </w:r>
          </w:p>
        </w:tc>
        <w:tc>
          <w:tcPr>
            <w:tcW w:w="7673" w:type="dxa"/>
            <w:vAlign w:val="center"/>
          </w:tcPr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⑴题目简明扼要，能清楚地表达论文所要研究的中心议题；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⑵</w:t>
            </w:r>
            <w:r>
              <w:rPr>
                <w:rFonts w:hint="eastAsia" w:ascii="楷体_GB2312" w:hAnsi="宋体" w:eastAsia="楷体_GB2312" w:cs="楷体_GB2312"/>
                <w:sz w:val="24"/>
                <w:szCs w:val="24"/>
              </w:rPr>
              <w:t>论文的选题应有一定的理论意义和实践价值，所反映的是当前金融相关领域的重要问题。</w:t>
            </w:r>
          </w:p>
        </w:tc>
        <w:tc>
          <w:tcPr>
            <w:tcW w:w="559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15</w:t>
            </w:r>
            <w:r>
              <w:rPr>
                <w:rFonts w:hint="eastAsia" w:eastAsia="楷体_GB2312" w:cs="楷体_GB2312"/>
                <w:sz w:val="24"/>
                <w:szCs w:val="24"/>
              </w:rPr>
              <w:t>分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研究方法与创新性</w:t>
            </w:r>
          </w:p>
        </w:tc>
        <w:tc>
          <w:tcPr>
            <w:tcW w:w="7673" w:type="dxa"/>
            <w:vAlign w:val="center"/>
          </w:tcPr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⑴有明确的研究方法与分析工具，</w:t>
            </w:r>
            <w:r>
              <w:rPr>
                <w:rFonts w:hint="eastAsia" w:ascii="楷体_GB2312" w:hAnsi="宋体" w:eastAsia="楷体_GB2312" w:cs="楷体_GB2312"/>
                <w:sz w:val="24"/>
                <w:szCs w:val="24"/>
              </w:rPr>
              <w:t>论文的研究方法适当</w:t>
            </w:r>
            <w:r>
              <w:rPr>
                <w:rFonts w:hint="eastAsia" w:eastAsia="楷体_GB2312" w:cs="楷体_GB2312"/>
                <w:sz w:val="24"/>
                <w:szCs w:val="24"/>
              </w:rPr>
              <w:t>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⑵对论文所要研究的问题提出了独到见解，或解决了论文所研究的问题，</w:t>
            </w:r>
            <w:r>
              <w:rPr>
                <w:rFonts w:hint="eastAsia" w:ascii="楷体_GB2312" w:hAnsi="宋体" w:eastAsia="楷体_GB2312" w:cs="楷体_GB2312"/>
                <w:sz w:val="24"/>
                <w:szCs w:val="24"/>
              </w:rPr>
              <w:t>观点和研究结论应有一定的创新。</w:t>
            </w:r>
          </w:p>
        </w:tc>
        <w:tc>
          <w:tcPr>
            <w:tcW w:w="559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15</w:t>
            </w:r>
            <w:r>
              <w:rPr>
                <w:rFonts w:hint="eastAsia" w:eastAsia="楷体_GB2312" w:cs="楷体_GB2312"/>
                <w:sz w:val="24"/>
                <w:szCs w:val="24"/>
              </w:rPr>
              <w:t>分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学术性</w:t>
            </w:r>
          </w:p>
        </w:tc>
        <w:tc>
          <w:tcPr>
            <w:tcW w:w="7673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案例分析类型的论文，案例应具有真实性和代表性；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⑵调研报告是对企业进行诊断，所完成的报告必须具有一定的代表性，并对所诊断对象进行分析；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⑶对专题研究类型的论文，应明确论文中哪些是前人已做的工作或得到的结论，哪些是在别人工作基础上，由作者自己完成的，由作者提出的见解、观点，要说明观点的正确性及其理论和实践的意义。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⑷研究思路清晰，观点明确，要点分明；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(5)</w:t>
            </w:r>
            <w:r>
              <w:rPr>
                <w:rFonts w:hint="eastAsia" w:eastAsia="楷体_GB2312" w:cs="楷体_GB2312"/>
                <w:sz w:val="24"/>
                <w:szCs w:val="24"/>
              </w:rPr>
              <w:t>分析透彻，说理清楚，结论准确；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(6)</w:t>
            </w:r>
            <w:r>
              <w:rPr>
                <w:rFonts w:hint="eastAsia" w:eastAsia="楷体_GB2312" w:cs="楷体_GB2312"/>
                <w:sz w:val="24"/>
                <w:szCs w:val="24"/>
              </w:rPr>
              <w:t>符合学术规范。</w:t>
            </w:r>
          </w:p>
        </w:tc>
        <w:tc>
          <w:tcPr>
            <w:tcW w:w="559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</w:t>
            </w:r>
            <w:r>
              <w:rPr>
                <w:rFonts w:hint="eastAsia" w:eastAsia="楷体_GB2312" w:cs="楷体_GB2312"/>
                <w:sz w:val="24"/>
                <w:szCs w:val="24"/>
              </w:rPr>
              <w:t>分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资料收集、分析与使用</w:t>
            </w:r>
          </w:p>
        </w:tc>
        <w:tc>
          <w:tcPr>
            <w:tcW w:w="7673" w:type="dxa"/>
            <w:vAlign w:val="center"/>
          </w:tcPr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⑴资料丰富，具有代表性和广泛性（要有文献综述）；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⑵对资料进行系统的鉴别、分析与评论，评价合理，不能资料堆积；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⑶引证资料准确。</w:t>
            </w:r>
          </w:p>
        </w:tc>
        <w:tc>
          <w:tcPr>
            <w:tcW w:w="559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</w:t>
            </w:r>
            <w:r>
              <w:rPr>
                <w:rFonts w:hint="eastAsia" w:eastAsia="楷体_GB2312" w:cs="楷体_GB2312"/>
                <w:sz w:val="24"/>
                <w:szCs w:val="24"/>
              </w:rPr>
              <w:t>分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论文格式与整体内容编排</w:t>
            </w:r>
          </w:p>
        </w:tc>
        <w:tc>
          <w:tcPr>
            <w:tcW w:w="7673" w:type="dxa"/>
            <w:vAlign w:val="center"/>
          </w:tcPr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⑴论文格式，包括目录、图表、附录、图象、正文和标题编排得当；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⑵论文结构合理，逻辑性强；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⑶文字表达准确、流畅；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⑷概念表述清楚。</w:t>
            </w:r>
          </w:p>
        </w:tc>
        <w:tc>
          <w:tcPr>
            <w:tcW w:w="559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10</w:t>
            </w:r>
            <w:r>
              <w:rPr>
                <w:rFonts w:hint="eastAsia" w:eastAsia="楷体_GB2312" w:cs="楷体_GB2312"/>
                <w:sz w:val="24"/>
                <w:szCs w:val="24"/>
              </w:rPr>
              <w:t>分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应用性</w:t>
            </w:r>
          </w:p>
        </w:tc>
        <w:tc>
          <w:tcPr>
            <w:tcW w:w="76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⑴</w:t>
            </w:r>
            <w:r>
              <w:rPr>
                <w:rFonts w:hint="eastAsia" w:ascii="楷体_GB2312" w:eastAsia="楷体_GB2312" w:cs="楷体_GB2312"/>
                <w:sz w:val="24"/>
                <w:szCs w:val="24"/>
              </w:rPr>
              <w:t>对</w:t>
            </w:r>
            <w:r>
              <w:rPr>
                <w:rFonts w:hint="eastAsia" w:ascii="楷体_GB2312" w:hAnsi="宋体" w:eastAsia="楷体_GB2312" w:cs="楷体_GB2312"/>
                <w:sz w:val="24"/>
                <w:szCs w:val="24"/>
              </w:rPr>
              <w:t>案例分析，除案例主体外，作者应写出足够的分析性内容并形成研究结论。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⑵</w:t>
            </w:r>
            <w:r>
              <w:rPr>
                <w:rFonts w:hint="eastAsia" w:ascii="楷体_GB2312" w:hAnsi="宋体" w:eastAsia="楷体_GB2312" w:cs="楷体_GB2312"/>
                <w:sz w:val="24"/>
                <w:szCs w:val="24"/>
              </w:rPr>
              <w:t>对调研报告，则需提出改进的方案和措施等诊断意见。</w:t>
            </w:r>
            <w:r>
              <w:rPr>
                <w:rFonts w:hint="eastAsia" w:eastAsia="楷体_GB2312" w:cs="楷体_GB2312"/>
                <w:sz w:val="24"/>
                <w:szCs w:val="24"/>
              </w:rPr>
              <w:t>具有较好的应用价值，操作性强；</w:t>
            </w:r>
          </w:p>
          <w:p>
            <w:pPr>
              <w:spacing w:line="360" w:lineRule="exact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sz w:val="24"/>
                <w:szCs w:val="24"/>
              </w:rPr>
              <w:t>对专题研究类型的论文，</w:t>
            </w:r>
            <w:r>
              <w:rPr>
                <w:rFonts w:hint="eastAsia" w:eastAsia="楷体_GB2312" w:cs="楷体_GB2312"/>
                <w:sz w:val="24"/>
                <w:szCs w:val="24"/>
              </w:rPr>
              <w:t>提出了新见解，探索了有价值的现象，回答了所研究的问题。</w:t>
            </w:r>
          </w:p>
        </w:tc>
        <w:tc>
          <w:tcPr>
            <w:tcW w:w="559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</w:t>
            </w:r>
            <w:r>
              <w:rPr>
                <w:rFonts w:hint="eastAsia" w:eastAsia="楷体_GB2312" w:cs="楷体_GB2312"/>
                <w:sz w:val="24"/>
                <w:szCs w:val="24"/>
              </w:rPr>
              <w:t>分</w:t>
            </w:r>
          </w:p>
        </w:tc>
        <w:tc>
          <w:tcPr>
            <w:tcW w:w="536" w:type="dxa"/>
            <w:vAlign w:val="center"/>
          </w:tcPr>
          <w:p>
            <w:pPr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418" w:type="dxa"/>
            <w:vAlign w:val="center"/>
          </w:tcPr>
          <w:p>
            <w:pPr>
              <w:spacing w:line="240" w:lineRule="atLeas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总分</w:t>
            </w:r>
          </w:p>
        </w:tc>
        <w:tc>
          <w:tcPr>
            <w:tcW w:w="876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32" w:hRule="exact"/>
        </w:trPr>
        <w:tc>
          <w:tcPr>
            <w:tcW w:w="10186" w:type="dxa"/>
            <w:gridSpan w:val="4"/>
          </w:tcPr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  <w:r>
              <w:rPr>
                <w:rFonts w:hint="eastAsia" w:eastAsia="楷体_GB2312" w:cs="楷体_GB2312"/>
                <w:b/>
                <w:bCs/>
                <w:color w:val="000000"/>
                <w:sz w:val="28"/>
                <w:szCs w:val="28"/>
              </w:rPr>
              <w:t>评语：</w:t>
            </w:r>
            <w:r>
              <w:rPr>
                <w:rFonts w:hint="eastAsia" w:ascii="宋体" w:hAnsi="宋体" w:cs="宋体"/>
                <w:b/>
                <w:bCs/>
              </w:rPr>
              <w:t>请注意评语中要对不足之处有具体说明，不少于</w:t>
            </w:r>
            <w:r>
              <w:rPr>
                <w:rFonts w:ascii="宋体" w:hAnsi="宋体" w:cs="宋体"/>
                <w:b/>
                <w:bCs/>
              </w:rPr>
              <w:t>100</w:t>
            </w:r>
            <w:r>
              <w:rPr>
                <w:rFonts w:hint="eastAsia" w:ascii="宋体" w:hAnsi="宋体" w:cs="宋体"/>
                <w:b/>
                <w:bCs/>
              </w:rPr>
              <w:t>字（尤其是选择评议结果为</w:t>
            </w:r>
            <w:r>
              <w:rPr>
                <w:rFonts w:ascii="宋体" w:hAnsi="宋体" w:cs="宋体"/>
                <w:b/>
                <w:bCs/>
              </w:rPr>
              <w:t>3</w:t>
            </w:r>
            <w:r>
              <w:rPr>
                <w:rFonts w:hint="eastAsia" w:ascii="宋体" w:hAnsi="宋体" w:cs="宋体"/>
                <w:b/>
                <w:bCs/>
              </w:rPr>
              <w:t>时</w:t>
            </w:r>
            <w:r>
              <w:rPr>
                <w:rFonts w:hint="eastAsia" w:ascii="宋体" w:hAnsi="宋体" w:cs="宋体"/>
              </w:rPr>
              <w:t>）</w:t>
            </w:r>
            <w:r>
              <w:rPr>
                <w:rFonts w:hint="eastAsia" w:ascii="宋体" w:hAnsi="宋体" w:cs="宋体"/>
                <w:b/>
                <w:bCs/>
              </w:rPr>
              <w:t>不够请加页。</w:t>
            </w: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</w:rPr>
            </w:pP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评议结果（请在序号上划“○”）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</w:t>
            </w:r>
            <w:r>
              <w:rPr>
                <w:rFonts w:hint="eastAsia" w:eastAsia="楷体_GB2312" w:cs="楷体_GB2312"/>
                <w:sz w:val="24"/>
                <w:szCs w:val="24"/>
              </w:rPr>
              <w:t>、同意答辩。学位论文达到硕士学位水平要求，按评审专家意见修改后参加本次答辩。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（总分≥</w:t>
            </w:r>
            <w:r>
              <w:rPr>
                <w:rFonts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 xml:space="preserve">70 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分）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</w:t>
            </w:r>
            <w:r>
              <w:rPr>
                <w:rFonts w:hint="eastAsia" w:eastAsia="楷体_GB2312" w:cs="楷体_GB2312"/>
                <w:sz w:val="24"/>
                <w:szCs w:val="24"/>
              </w:rPr>
              <w:t>、修改后答辩。学位论文基本达到硕士学位水平要求，结合评审专家意见进行一定修改后参加本次答辩。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（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>60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≤</w:t>
            </w:r>
            <w:r>
              <w:rPr>
                <w:rFonts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总分＜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>70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3</w:t>
            </w:r>
            <w:r>
              <w:rPr>
                <w:rFonts w:hint="eastAsia" w:eastAsia="楷体_GB2312" w:cs="楷体_GB2312"/>
                <w:sz w:val="24"/>
                <w:szCs w:val="24"/>
              </w:rPr>
              <w:t>、不能参加答辩。学位论文尚未达到硕士学位水平要求，不能参加本次答辩。需对论文进行较大修改，三个月后重新送专家评审。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（总分＜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>60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论文的不足之处及修改意见：</w:t>
            </w:r>
          </w:p>
          <w:p>
            <w:pPr>
              <w:spacing w:line="360" w:lineRule="auto"/>
              <w:rPr>
                <w:rFonts w:eastAsia="楷体_GB2312"/>
              </w:rPr>
            </w:pPr>
            <w:r>
              <w:rPr>
                <w:rFonts w:hint="eastAsia" w:eastAsia="楷体_GB2312" w:cs="楷体_GB2312"/>
              </w:rPr>
              <w:t>（根据上级文件关于论文评阅必须对“不足之处有具体说明”的精神，此栏请勿留空）</w:t>
            </w:r>
          </w:p>
          <w:p>
            <w:pPr>
              <w:spacing w:line="360" w:lineRule="auto"/>
              <w:rPr>
                <w:rFonts w:eastAsia="楷体_GB2312"/>
              </w:rPr>
            </w:pPr>
          </w:p>
          <w:p>
            <w:pPr>
              <w:spacing w:line="360" w:lineRule="auto"/>
              <w:rPr>
                <w:rFonts w:eastAsia="楷体_GB2312"/>
              </w:rPr>
            </w:pPr>
          </w:p>
          <w:p>
            <w:pPr>
              <w:spacing w:line="360" w:lineRule="auto"/>
              <w:rPr>
                <w:rFonts w:eastAsia="楷体_GB2312"/>
              </w:rPr>
            </w:pP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ind w:firstLine="2249" w:firstLineChars="800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ind w:firstLine="2249" w:firstLineChars="800"/>
              <w:rPr>
                <w:rFonts w:hint="eastAsia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ind w:firstLine="2249" w:firstLineChars="800"/>
              <w:rPr>
                <w:rFonts w:eastAsia="楷体_GB2312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评阅人（签名）：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年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月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日</w:t>
            </w:r>
          </w:p>
          <w:p>
            <w:pPr>
              <w:spacing w:before="120" w:line="360" w:lineRule="auto"/>
              <w:rPr>
                <w:rFonts w:eastAsia="楷体_GB2312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spacing w:line="480" w:lineRule="auto"/>
        <w:rPr>
          <w:rFonts w:eastAsia="楷体"/>
          <w:color w:val="000000"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,Bold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Î¢ÈíÑÅºÚ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3C5"/>
    <w:multiLevelType w:val="multilevel"/>
    <w:tmpl w:val="095073C5"/>
    <w:lvl w:ilvl="0" w:tentative="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A7A"/>
    <w:rsid w:val="00000CF6"/>
    <w:rsid w:val="00001D4C"/>
    <w:rsid w:val="00010447"/>
    <w:rsid w:val="0002387A"/>
    <w:rsid w:val="00041D2D"/>
    <w:rsid w:val="00044AAC"/>
    <w:rsid w:val="00050089"/>
    <w:rsid w:val="000524D8"/>
    <w:rsid w:val="00060C0A"/>
    <w:rsid w:val="000650F0"/>
    <w:rsid w:val="000665F6"/>
    <w:rsid w:val="00067527"/>
    <w:rsid w:val="00067940"/>
    <w:rsid w:val="00070AD1"/>
    <w:rsid w:val="00071FC0"/>
    <w:rsid w:val="0007558A"/>
    <w:rsid w:val="00075EB9"/>
    <w:rsid w:val="000763E1"/>
    <w:rsid w:val="00076DCD"/>
    <w:rsid w:val="00076F9D"/>
    <w:rsid w:val="000837DA"/>
    <w:rsid w:val="00084676"/>
    <w:rsid w:val="000858BB"/>
    <w:rsid w:val="00085AF8"/>
    <w:rsid w:val="00087384"/>
    <w:rsid w:val="000903EB"/>
    <w:rsid w:val="00095EC7"/>
    <w:rsid w:val="00097B6F"/>
    <w:rsid w:val="000A2111"/>
    <w:rsid w:val="000A4785"/>
    <w:rsid w:val="000B188D"/>
    <w:rsid w:val="000B679C"/>
    <w:rsid w:val="000C0BB9"/>
    <w:rsid w:val="000C2887"/>
    <w:rsid w:val="000C59C0"/>
    <w:rsid w:val="000D125D"/>
    <w:rsid w:val="000E0E03"/>
    <w:rsid w:val="000E1A1A"/>
    <w:rsid w:val="000F1C53"/>
    <w:rsid w:val="000F5B32"/>
    <w:rsid w:val="000F7EF0"/>
    <w:rsid w:val="001028E2"/>
    <w:rsid w:val="00102A9E"/>
    <w:rsid w:val="00104B71"/>
    <w:rsid w:val="00105FA1"/>
    <w:rsid w:val="00106588"/>
    <w:rsid w:val="001067A8"/>
    <w:rsid w:val="00113FA4"/>
    <w:rsid w:val="001220B3"/>
    <w:rsid w:val="00124209"/>
    <w:rsid w:val="0013779E"/>
    <w:rsid w:val="001414A6"/>
    <w:rsid w:val="0014741B"/>
    <w:rsid w:val="00152D88"/>
    <w:rsid w:val="0016083A"/>
    <w:rsid w:val="00175BE6"/>
    <w:rsid w:val="001858BF"/>
    <w:rsid w:val="001868A1"/>
    <w:rsid w:val="00190DE0"/>
    <w:rsid w:val="001931BE"/>
    <w:rsid w:val="00196A6B"/>
    <w:rsid w:val="001A4C78"/>
    <w:rsid w:val="001B1FDB"/>
    <w:rsid w:val="001B7070"/>
    <w:rsid w:val="001C1B6B"/>
    <w:rsid w:val="001D36D9"/>
    <w:rsid w:val="001D6B11"/>
    <w:rsid w:val="001E0052"/>
    <w:rsid w:val="001E07A9"/>
    <w:rsid w:val="001F7E60"/>
    <w:rsid w:val="00205006"/>
    <w:rsid w:val="00210455"/>
    <w:rsid w:val="00217BA6"/>
    <w:rsid w:val="00224374"/>
    <w:rsid w:val="00224A56"/>
    <w:rsid w:val="00226DA9"/>
    <w:rsid w:val="0024247A"/>
    <w:rsid w:val="002442A1"/>
    <w:rsid w:val="0025021B"/>
    <w:rsid w:val="002507F2"/>
    <w:rsid w:val="0025093C"/>
    <w:rsid w:val="002535EB"/>
    <w:rsid w:val="0026470C"/>
    <w:rsid w:val="0027051C"/>
    <w:rsid w:val="0027370F"/>
    <w:rsid w:val="002740A2"/>
    <w:rsid w:val="002765A2"/>
    <w:rsid w:val="00283D33"/>
    <w:rsid w:val="00284638"/>
    <w:rsid w:val="00285A30"/>
    <w:rsid w:val="00285F1C"/>
    <w:rsid w:val="00290E05"/>
    <w:rsid w:val="00296A8A"/>
    <w:rsid w:val="002A1EEC"/>
    <w:rsid w:val="002A6DF5"/>
    <w:rsid w:val="002B0DF1"/>
    <w:rsid w:val="002B418A"/>
    <w:rsid w:val="002C38C5"/>
    <w:rsid w:val="002C77DA"/>
    <w:rsid w:val="002E2AB0"/>
    <w:rsid w:val="002F4669"/>
    <w:rsid w:val="00301280"/>
    <w:rsid w:val="00303364"/>
    <w:rsid w:val="00305779"/>
    <w:rsid w:val="003110B7"/>
    <w:rsid w:val="00321A5E"/>
    <w:rsid w:val="00330FE7"/>
    <w:rsid w:val="00331F15"/>
    <w:rsid w:val="0033236D"/>
    <w:rsid w:val="00335980"/>
    <w:rsid w:val="00337540"/>
    <w:rsid w:val="003376C9"/>
    <w:rsid w:val="00341988"/>
    <w:rsid w:val="00351D14"/>
    <w:rsid w:val="00351E93"/>
    <w:rsid w:val="00353C36"/>
    <w:rsid w:val="003564D9"/>
    <w:rsid w:val="0036732A"/>
    <w:rsid w:val="003723A5"/>
    <w:rsid w:val="00372C06"/>
    <w:rsid w:val="00372D59"/>
    <w:rsid w:val="00377BFA"/>
    <w:rsid w:val="00384792"/>
    <w:rsid w:val="00385A3D"/>
    <w:rsid w:val="003912E2"/>
    <w:rsid w:val="00392094"/>
    <w:rsid w:val="00392E4C"/>
    <w:rsid w:val="00396137"/>
    <w:rsid w:val="00396F1A"/>
    <w:rsid w:val="003A0B6D"/>
    <w:rsid w:val="003A2952"/>
    <w:rsid w:val="003A4638"/>
    <w:rsid w:val="003A50CA"/>
    <w:rsid w:val="003A5AF2"/>
    <w:rsid w:val="003A6E0C"/>
    <w:rsid w:val="003B266A"/>
    <w:rsid w:val="003B6DD2"/>
    <w:rsid w:val="003C1432"/>
    <w:rsid w:val="003C2294"/>
    <w:rsid w:val="003C60AA"/>
    <w:rsid w:val="003C6EAA"/>
    <w:rsid w:val="003E055B"/>
    <w:rsid w:val="003E6FC9"/>
    <w:rsid w:val="003F0491"/>
    <w:rsid w:val="00400718"/>
    <w:rsid w:val="00404953"/>
    <w:rsid w:val="004056A4"/>
    <w:rsid w:val="00407567"/>
    <w:rsid w:val="004162CD"/>
    <w:rsid w:val="00416749"/>
    <w:rsid w:val="0042414A"/>
    <w:rsid w:val="0042570B"/>
    <w:rsid w:val="0043154B"/>
    <w:rsid w:val="0043403D"/>
    <w:rsid w:val="004432D1"/>
    <w:rsid w:val="004444DA"/>
    <w:rsid w:val="00451611"/>
    <w:rsid w:val="00464EBD"/>
    <w:rsid w:val="004720B6"/>
    <w:rsid w:val="00473246"/>
    <w:rsid w:val="00477E0C"/>
    <w:rsid w:val="004844F4"/>
    <w:rsid w:val="00485309"/>
    <w:rsid w:val="004A055C"/>
    <w:rsid w:val="004A6F8D"/>
    <w:rsid w:val="004B1802"/>
    <w:rsid w:val="004B79FD"/>
    <w:rsid w:val="004C15F4"/>
    <w:rsid w:val="004C1AC2"/>
    <w:rsid w:val="004D3736"/>
    <w:rsid w:val="004D6063"/>
    <w:rsid w:val="00503A1E"/>
    <w:rsid w:val="005044BA"/>
    <w:rsid w:val="005077F0"/>
    <w:rsid w:val="005101BC"/>
    <w:rsid w:val="00514849"/>
    <w:rsid w:val="00515B78"/>
    <w:rsid w:val="005267F4"/>
    <w:rsid w:val="00534513"/>
    <w:rsid w:val="00545F47"/>
    <w:rsid w:val="00545F62"/>
    <w:rsid w:val="00555829"/>
    <w:rsid w:val="00567638"/>
    <w:rsid w:val="00572F43"/>
    <w:rsid w:val="005A37D9"/>
    <w:rsid w:val="005A6E3F"/>
    <w:rsid w:val="005A7798"/>
    <w:rsid w:val="005B109B"/>
    <w:rsid w:val="005B4608"/>
    <w:rsid w:val="005B46E8"/>
    <w:rsid w:val="005B6FAF"/>
    <w:rsid w:val="005C2465"/>
    <w:rsid w:val="005D096C"/>
    <w:rsid w:val="005D7C00"/>
    <w:rsid w:val="005E25F8"/>
    <w:rsid w:val="005E3655"/>
    <w:rsid w:val="005E549A"/>
    <w:rsid w:val="005F40AC"/>
    <w:rsid w:val="005F5345"/>
    <w:rsid w:val="005F5497"/>
    <w:rsid w:val="006216B7"/>
    <w:rsid w:val="00622939"/>
    <w:rsid w:val="00624BC5"/>
    <w:rsid w:val="00644A41"/>
    <w:rsid w:val="006524F3"/>
    <w:rsid w:val="00655627"/>
    <w:rsid w:val="00655983"/>
    <w:rsid w:val="00656F16"/>
    <w:rsid w:val="006622C4"/>
    <w:rsid w:val="00663E47"/>
    <w:rsid w:val="0066437B"/>
    <w:rsid w:val="006669C0"/>
    <w:rsid w:val="00666B3E"/>
    <w:rsid w:val="00677D4E"/>
    <w:rsid w:val="00684775"/>
    <w:rsid w:val="00684C9D"/>
    <w:rsid w:val="00687E82"/>
    <w:rsid w:val="00690AC5"/>
    <w:rsid w:val="00697591"/>
    <w:rsid w:val="006979E5"/>
    <w:rsid w:val="006A2220"/>
    <w:rsid w:val="006A3CE4"/>
    <w:rsid w:val="006B1EE5"/>
    <w:rsid w:val="006B23A2"/>
    <w:rsid w:val="006B4AFF"/>
    <w:rsid w:val="006D0053"/>
    <w:rsid w:val="006D1A19"/>
    <w:rsid w:val="006D1F8F"/>
    <w:rsid w:val="006E15D3"/>
    <w:rsid w:val="006E19C9"/>
    <w:rsid w:val="006E1DFD"/>
    <w:rsid w:val="006E3352"/>
    <w:rsid w:val="006E3A35"/>
    <w:rsid w:val="006E4F11"/>
    <w:rsid w:val="006F36A7"/>
    <w:rsid w:val="00700D94"/>
    <w:rsid w:val="00704133"/>
    <w:rsid w:val="0071101C"/>
    <w:rsid w:val="00711202"/>
    <w:rsid w:val="00732668"/>
    <w:rsid w:val="00733F17"/>
    <w:rsid w:val="007353BD"/>
    <w:rsid w:val="00737695"/>
    <w:rsid w:val="00741E6E"/>
    <w:rsid w:val="007432B3"/>
    <w:rsid w:val="007434B2"/>
    <w:rsid w:val="00754AC7"/>
    <w:rsid w:val="007610A1"/>
    <w:rsid w:val="00763BB4"/>
    <w:rsid w:val="00767ABC"/>
    <w:rsid w:val="0077119E"/>
    <w:rsid w:val="00772466"/>
    <w:rsid w:val="007742F4"/>
    <w:rsid w:val="00775703"/>
    <w:rsid w:val="00783B87"/>
    <w:rsid w:val="00791563"/>
    <w:rsid w:val="00792B53"/>
    <w:rsid w:val="00797019"/>
    <w:rsid w:val="00797ACE"/>
    <w:rsid w:val="007A36C0"/>
    <w:rsid w:val="007A67B5"/>
    <w:rsid w:val="007C0D1E"/>
    <w:rsid w:val="007C4D77"/>
    <w:rsid w:val="007D0185"/>
    <w:rsid w:val="007D2A49"/>
    <w:rsid w:val="007E06C8"/>
    <w:rsid w:val="007E0D5F"/>
    <w:rsid w:val="007F067C"/>
    <w:rsid w:val="007F2B37"/>
    <w:rsid w:val="007F2F24"/>
    <w:rsid w:val="007F3E54"/>
    <w:rsid w:val="00800970"/>
    <w:rsid w:val="00803623"/>
    <w:rsid w:val="0080713B"/>
    <w:rsid w:val="00815690"/>
    <w:rsid w:val="00816724"/>
    <w:rsid w:val="008216B4"/>
    <w:rsid w:val="0082418F"/>
    <w:rsid w:val="008254D0"/>
    <w:rsid w:val="00825563"/>
    <w:rsid w:val="008349B5"/>
    <w:rsid w:val="00851E7C"/>
    <w:rsid w:val="00853182"/>
    <w:rsid w:val="008545D8"/>
    <w:rsid w:val="00854C0C"/>
    <w:rsid w:val="00855F17"/>
    <w:rsid w:val="00856569"/>
    <w:rsid w:val="00857B35"/>
    <w:rsid w:val="00860C10"/>
    <w:rsid w:val="00862CB0"/>
    <w:rsid w:val="00881FC4"/>
    <w:rsid w:val="00890CC1"/>
    <w:rsid w:val="008A2F0C"/>
    <w:rsid w:val="008C1EAC"/>
    <w:rsid w:val="008D19C0"/>
    <w:rsid w:val="008D59F9"/>
    <w:rsid w:val="008E55F0"/>
    <w:rsid w:val="008F1725"/>
    <w:rsid w:val="008F52DA"/>
    <w:rsid w:val="008F76A3"/>
    <w:rsid w:val="00902884"/>
    <w:rsid w:val="009041F8"/>
    <w:rsid w:val="009106E1"/>
    <w:rsid w:val="009156CE"/>
    <w:rsid w:val="00921F9B"/>
    <w:rsid w:val="00932859"/>
    <w:rsid w:val="00935EA2"/>
    <w:rsid w:val="009368AA"/>
    <w:rsid w:val="00941D2E"/>
    <w:rsid w:val="00946D03"/>
    <w:rsid w:val="00946F88"/>
    <w:rsid w:val="00956392"/>
    <w:rsid w:val="009565D7"/>
    <w:rsid w:val="00957044"/>
    <w:rsid w:val="00962727"/>
    <w:rsid w:val="00964CCA"/>
    <w:rsid w:val="00964F9C"/>
    <w:rsid w:val="00965162"/>
    <w:rsid w:val="009723CF"/>
    <w:rsid w:val="00973D3C"/>
    <w:rsid w:val="00973F54"/>
    <w:rsid w:val="00976166"/>
    <w:rsid w:val="00980F2A"/>
    <w:rsid w:val="00982ACE"/>
    <w:rsid w:val="00985FEB"/>
    <w:rsid w:val="009925AF"/>
    <w:rsid w:val="009A0F0D"/>
    <w:rsid w:val="009A3FDD"/>
    <w:rsid w:val="009B3BA0"/>
    <w:rsid w:val="009D1693"/>
    <w:rsid w:val="009D1807"/>
    <w:rsid w:val="009D60B5"/>
    <w:rsid w:val="009D6532"/>
    <w:rsid w:val="009D6C0F"/>
    <w:rsid w:val="009E0EDE"/>
    <w:rsid w:val="009E1861"/>
    <w:rsid w:val="009E20F0"/>
    <w:rsid w:val="009F3B5A"/>
    <w:rsid w:val="009F69DD"/>
    <w:rsid w:val="00A00591"/>
    <w:rsid w:val="00A030B7"/>
    <w:rsid w:val="00A0580A"/>
    <w:rsid w:val="00A10E26"/>
    <w:rsid w:val="00A20959"/>
    <w:rsid w:val="00A250E7"/>
    <w:rsid w:val="00A34B74"/>
    <w:rsid w:val="00A36790"/>
    <w:rsid w:val="00A404DB"/>
    <w:rsid w:val="00A45F3B"/>
    <w:rsid w:val="00A4627D"/>
    <w:rsid w:val="00A51CB3"/>
    <w:rsid w:val="00A63B82"/>
    <w:rsid w:val="00A70D2A"/>
    <w:rsid w:val="00A7672F"/>
    <w:rsid w:val="00A83604"/>
    <w:rsid w:val="00A85336"/>
    <w:rsid w:val="00A85DFE"/>
    <w:rsid w:val="00A92BA6"/>
    <w:rsid w:val="00A95B08"/>
    <w:rsid w:val="00AA2E7F"/>
    <w:rsid w:val="00AA39C8"/>
    <w:rsid w:val="00AB1852"/>
    <w:rsid w:val="00AB64A6"/>
    <w:rsid w:val="00AB6578"/>
    <w:rsid w:val="00AC481F"/>
    <w:rsid w:val="00AC6F57"/>
    <w:rsid w:val="00AD2470"/>
    <w:rsid w:val="00AD5241"/>
    <w:rsid w:val="00AD5B7F"/>
    <w:rsid w:val="00AE16D3"/>
    <w:rsid w:val="00AE2286"/>
    <w:rsid w:val="00AE2D7E"/>
    <w:rsid w:val="00AE47F8"/>
    <w:rsid w:val="00AF05F9"/>
    <w:rsid w:val="00B03D2B"/>
    <w:rsid w:val="00B0441D"/>
    <w:rsid w:val="00B051DB"/>
    <w:rsid w:val="00B13015"/>
    <w:rsid w:val="00B21517"/>
    <w:rsid w:val="00B22D1F"/>
    <w:rsid w:val="00B22FCB"/>
    <w:rsid w:val="00B269EE"/>
    <w:rsid w:val="00B37FEA"/>
    <w:rsid w:val="00B450EF"/>
    <w:rsid w:val="00B47E8B"/>
    <w:rsid w:val="00B61984"/>
    <w:rsid w:val="00B635CD"/>
    <w:rsid w:val="00B64599"/>
    <w:rsid w:val="00B7144A"/>
    <w:rsid w:val="00B776C7"/>
    <w:rsid w:val="00B94AD5"/>
    <w:rsid w:val="00B96393"/>
    <w:rsid w:val="00B964ED"/>
    <w:rsid w:val="00BA09B8"/>
    <w:rsid w:val="00BA103B"/>
    <w:rsid w:val="00BA776F"/>
    <w:rsid w:val="00BB400D"/>
    <w:rsid w:val="00BB6367"/>
    <w:rsid w:val="00BC21F6"/>
    <w:rsid w:val="00BD74E3"/>
    <w:rsid w:val="00BE236C"/>
    <w:rsid w:val="00BE3FCF"/>
    <w:rsid w:val="00C01324"/>
    <w:rsid w:val="00C01C95"/>
    <w:rsid w:val="00C0524A"/>
    <w:rsid w:val="00C0789E"/>
    <w:rsid w:val="00C103E5"/>
    <w:rsid w:val="00C12AF2"/>
    <w:rsid w:val="00C13F0C"/>
    <w:rsid w:val="00C147EE"/>
    <w:rsid w:val="00C20E74"/>
    <w:rsid w:val="00C36FA9"/>
    <w:rsid w:val="00C44A11"/>
    <w:rsid w:val="00C51EFA"/>
    <w:rsid w:val="00C524CB"/>
    <w:rsid w:val="00C551FC"/>
    <w:rsid w:val="00C55762"/>
    <w:rsid w:val="00C60AC3"/>
    <w:rsid w:val="00C62D5A"/>
    <w:rsid w:val="00C65357"/>
    <w:rsid w:val="00C655B5"/>
    <w:rsid w:val="00C759BE"/>
    <w:rsid w:val="00C816C9"/>
    <w:rsid w:val="00C8316B"/>
    <w:rsid w:val="00C8349D"/>
    <w:rsid w:val="00C91B8C"/>
    <w:rsid w:val="00C943E8"/>
    <w:rsid w:val="00C954F8"/>
    <w:rsid w:val="00C96C45"/>
    <w:rsid w:val="00CA2B10"/>
    <w:rsid w:val="00CA4D9E"/>
    <w:rsid w:val="00CA7265"/>
    <w:rsid w:val="00CB3EF8"/>
    <w:rsid w:val="00CC4CC6"/>
    <w:rsid w:val="00CC519D"/>
    <w:rsid w:val="00CD408E"/>
    <w:rsid w:val="00CD7E68"/>
    <w:rsid w:val="00CF3E93"/>
    <w:rsid w:val="00CF3EA8"/>
    <w:rsid w:val="00D057B6"/>
    <w:rsid w:val="00D06342"/>
    <w:rsid w:val="00D131D5"/>
    <w:rsid w:val="00D16678"/>
    <w:rsid w:val="00D16D0C"/>
    <w:rsid w:val="00D21BD5"/>
    <w:rsid w:val="00D21DF6"/>
    <w:rsid w:val="00D23D31"/>
    <w:rsid w:val="00D2654A"/>
    <w:rsid w:val="00D34EC7"/>
    <w:rsid w:val="00D45EB9"/>
    <w:rsid w:val="00D470D3"/>
    <w:rsid w:val="00D475F5"/>
    <w:rsid w:val="00D50485"/>
    <w:rsid w:val="00D62E56"/>
    <w:rsid w:val="00D64253"/>
    <w:rsid w:val="00D64F47"/>
    <w:rsid w:val="00D676D7"/>
    <w:rsid w:val="00D67B7B"/>
    <w:rsid w:val="00D67CCE"/>
    <w:rsid w:val="00D70A99"/>
    <w:rsid w:val="00D84818"/>
    <w:rsid w:val="00D96362"/>
    <w:rsid w:val="00DA436E"/>
    <w:rsid w:val="00DB1E95"/>
    <w:rsid w:val="00DB211C"/>
    <w:rsid w:val="00DB6953"/>
    <w:rsid w:val="00DB743A"/>
    <w:rsid w:val="00DD4D00"/>
    <w:rsid w:val="00DE0ADB"/>
    <w:rsid w:val="00DE2452"/>
    <w:rsid w:val="00DE5513"/>
    <w:rsid w:val="00DE69E5"/>
    <w:rsid w:val="00DF1C8E"/>
    <w:rsid w:val="00DF6B84"/>
    <w:rsid w:val="00DF6FCB"/>
    <w:rsid w:val="00E1505C"/>
    <w:rsid w:val="00E1744D"/>
    <w:rsid w:val="00E17A2B"/>
    <w:rsid w:val="00E17AF8"/>
    <w:rsid w:val="00E21073"/>
    <w:rsid w:val="00E238A5"/>
    <w:rsid w:val="00E26F41"/>
    <w:rsid w:val="00E45EDF"/>
    <w:rsid w:val="00E55278"/>
    <w:rsid w:val="00E60C26"/>
    <w:rsid w:val="00E62193"/>
    <w:rsid w:val="00E73EBA"/>
    <w:rsid w:val="00E80C7E"/>
    <w:rsid w:val="00E82F89"/>
    <w:rsid w:val="00E83A14"/>
    <w:rsid w:val="00E8449B"/>
    <w:rsid w:val="00E84528"/>
    <w:rsid w:val="00E85E6C"/>
    <w:rsid w:val="00E873B6"/>
    <w:rsid w:val="00E93B60"/>
    <w:rsid w:val="00E97EE3"/>
    <w:rsid w:val="00EA2100"/>
    <w:rsid w:val="00EB5DA5"/>
    <w:rsid w:val="00EB6E6B"/>
    <w:rsid w:val="00EC1B13"/>
    <w:rsid w:val="00EC3564"/>
    <w:rsid w:val="00EC4A7A"/>
    <w:rsid w:val="00EC7D8E"/>
    <w:rsid w:val="00EE2815"/>
    <w:rsid w:val="00EE43FA"/>
    <w:rsid w:val="00EF2EA9"/>
    <w:rsid w:val="00EF42B0"/>
    <w:rsid w:val="00F01F87"/>
    <w:rsid w:val="00F02AEB"/>
    <w:rsid w:val="00F05F56"/>
    <w:rsid w:val="00F078CB"/>
    <w:rsid w:val="00F100D5"/>
    <w:rsid w:val="00F10BF2"/>
    <w:rsid w:val="00F1182A"/>
    <w:rsid w:val="00F2647B"/>
    <w:rsid w:val="00F30813"/>
    <w:rsid w:val="00F35867"/>
    <w:rsid w:val="00F5021A"/>
    <w:rsid w:val="00F50F75"/>
    <w:rsid w:val="00F66389"/>
    <w:rsid w:val="00F700DB"/>
    <w:rsid w:val="00F729E3"/>
    <w:rsid w:val="00F73495"/>
    <w:rsid w:val="00F75B25"/>
    <w:rsid w:val="00F80860"/>
    <w:rsid w:val="00F80ABF"/>
    <w:rsid w:val="00FA6F53"/>
    <w:rsid w:val="00FB14CD"/>
    <w:rsid w:val="00FB2A70"/>
    <w:rsid w:val="00FB2F32"/>
    <w:rsid w:val="00FC1E4F"/>
    <w:rsid w:val="00FC3871"/>
    <w:rsid w:val="00FC5376"/>
    <w:rsid w:val="00FC5417"/>
    <w:rsid w:val="00FE044B"/>
    <w:rsid w:val="00FE1C23"/>
    <w:rsid w:val="00FE2FB5"/>
    <w:rsid w:val="00FE6725"/>
    <w:rsid w:val="00FF49EA"/>
    <w:rsid w:val="00FF6326"/>
    <w:rsid w:val="43B22898"/>
    <w:rsid w:val="43C2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nhideWhenUsed="0"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nhideWhenUsed="0" w:uiPriority="99" w:name="footnote reference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nhideWhenUsed="0" w:uiPriority="0" w:semiHidden="0" w:name="List Number"/>
    <w:lsdException w:uiPriority="99" w:name="List 2" w:locked="1"/>
    <w:lsdException w:uiPriority="99" w:name="List 3" w:locked="1"/>
    <w:lsdException w:unhideWhenUsed="0" w:uiPriority="0" w:semiHidden="0" w:name="List 4"/>
    <w:lsdException w:unhideWhenUsed="0" w:uiPriority="0" w:semiHidden="0" w:name="List 5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iPriority w:val="99"/>
    <w:pPr>
      <w:jc w:val="left"/>
    </w:pPr>
  </w:style>
  <w:style w:type="paragraph" w:styleId="3">
    <w:name w:val="Body Text Indent"/>
    <w:basedOn w:val="1"/>
    <w:link w:val="23"/>
    <w:uiPriority w:val="99"/>
    <w:pPr>
      <w:ind w:left="360" w:firstLine="359" w:firstLineChars="171"/>
    </w:pPr>
  </w:style>
  <w:style w:type="paragraph" w:styleId="4">
    <w:name w:val="Plain Text"/>
    <w:basedOn w:val="1"/>
    <w:link w:val="15"/>
    <w:uiPriority w:val="99"/>
    <w:rPr>
      <w:rFonts w:ascii="宋体" w:hAnsi="Courier New" w:cs="宋体"/>
    </w:rPr>
  </w:style>
  <w:style w:type="paragraph" w:styleId="5">
    <w:name w:val="Balloon Text"/>
    <w:basedOn w:val="1"/>
    <w:link w:val="19"/>
    <w:semiHidden/>
    <w:uiPriority w:val="99"/>
    <w:rPr>
      <w:sz w:val="18"/>
      <w:szCs w:val="18"/>
    </w:rPr>
  </w:style>
  <w:style w:type="paragraph" w:styleId="6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0"/>
    <w:semiHidden/>
    <w:uiPriority w:val="99"/>
    <w:pPr>
      <w:snapToGrid w:val="0"/>
      <w:jc w:val="left"/>
    </w:pPr>
    <w:rPr>
      <w:sz w:val="18"/>
      <w:szCs w:val="18"/>
    </w:rPr>
  </w:style>
  <w:style w:type="paragraph" w:styleId="9">
    <w:name w:val="HTML Preformatted"/>
    <w:basedOn w:val="1"/>
    <w:link w:val="24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annotation subject"/>
    <w:basedOn w:val="2"/>
    <w:next w:val="2"/>
    <w:link w:val="22"/>
    <w:semiHidden/>
    <w:uiPriority w:val="99"/>
    <w:rPr>
      <w:b/>
      <w:bCs/>
    </w:rPr>
  </w:style>
  <w:style w:type="character" w:styleId="13">
    <w:name w:val="annotation reference"/>
    <w:semiHidden/>
    <w:qFormat/>
    <w:uiPriority w:val="99"/>
    <w:rPr>
      <w:sz w:val="21"/>
      <w:szCs w:val="21"/>
    </w:rPr>
  </w:style>
  <w:style w:type="character" w:styleId="14">
    <w:name w:val="footnote reference"/>
    <w:semiHidden/>
    <w:uiPriority w:val="99"/>
    <w:rPr>
      <w:vertAlign w:val="superscript"/>
    </w:rPr>
  </w:style>
  <w:style w:type="character" w:customStyle="1" w:styleId="15">
    <w:name w:val="纯文本 字符"/>
    <w:link w:val="4"/>
    <w:semiHidden/>
    <w:uiPriority w:val="99"/>
    <w:rPr>
      <w:rFonts w:ascii="宋体" w:hAnsi="Courier New" w:cs="Courier New"/>
      <w:szCs w:val="21"/>
    </w:rPr>
  </w:style>
  <w:style w:type="character" w:customStyle="1" w:styleId="16">
    <w:name w:val="页眉 字符"/>
    <w:link w:val="7"/>
    <w:semiHidden/>
    <w:uiPriority w:val="99"/>
    <w:rPr>
      <w:sz w:val="18"/>
      <w:szCs w:val="18"/>
    </w:rPr>
  </w:style>
  <w:style w:type="character" w:customStyle="1" w:styleId="17">
    <w:name w:val="页脚 字符"/>
    <w:link w:val="6"/>
    <w:semiHidden/>
    <w:uiPriority w:val="99"/>
    <w:rPr>
      <w:sz w:val="18"/>
      <w:szCs w:val="18"/>
    </w:rPr>
  </w:style>
  <w:style w:type="paragraph" w:customStyle="1" w:styleId="18">
    <w:name w:val="Char Char Char Char"/>
    <w:basedOn w:val="1"/>
    <w:uiPriority w:val="99"/>
    <w:pPr>
      <w:tabs>
        <w:tab w:val="left" w:pos="425"/>
      </w:tabs>
      <w:ind w:left="425" w:hanging="425"/>
    </w:pPr>
  </w:style>
  <w:style w:type="character" w:customStyle="1" w:styleId="19">
    <w:name w:val="批注框文本 字符"/>
    <w:link w:val="5"/>
    <w:semiHidden/>
    <w:uiPriority w:val="99"/>
    <w:rPr>
      <w:sz w:val="18"/>
      <w:szCs w:val="18"/>
    </w:rPr>
  </w:style>
  <w:style w:type="character" w:customStyle="1" w:styleId="20">
    <w:name w:val="脚注文本 字符"/>
    <w:link w:val="8"/>
    <w:locked/>
    <w:uiPriority w:val="99"/>
    <w:rPr>
      <w:kern w:val="2"/>
      <w:sz w:val="18"/>
      <w:szCs w:val="18"/>
    </w:rPr>
  </w:style>
  <w:style w:type="character" w:customStyle="1" w:styleId="21">
    <w:name w:val="批注文字 字符"/>
    <w:link w:val="2"/>
    <w:locked/>
    <w:uiPriority w:val="99"/>
    <w:rPr>
      <w:kern w:val="2"/>
      <w:sz w:val="24"/>
      <w:szCs w:val="24"/>
    </w:rPr>
  </w:style>
  <w:style w:type="character" w:customStyle="1" w:styleId="22">
    <w:name w:val="批注主题 字符"/>
    <w:link w:val="10"/>
    <w:locked/>
    <w:uiPriority w:val="99"/>
    <w:rPr>
      <w:b/>
      <w:bCs/>
      <w:kern w:val="2"/>
      <w:sz w:val="24"/>
      <w:szCs w:val="24"/>
    </w:rPr>
  </w:style>
  <w:style w:type="character" w:customStyle="1" w:styleId="23">
    <w:name w:val="正文文本缩进 字符"/>
    <w:link w:val="3"/>
    <w:locked/>
    <w:uiPriority w:val="99"/>
    <w:rPr>
      <w:kern w:val="2"/>
      <w:sz w:val="24"/>
      <w:szCs w:val="24"/>
    </w:rPr>
  </w:style>
  <w:style w:type="character" w:customStyle="1" w:styleId="24">
    <w:name w:val="HTML 预设格式 字符"/>
    <w:link w:val="9"/>
    <w:locked/>
    <w:uiPriority w:val="99"/>
    <w:rPr>
      <w:rFonts w:asci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3</Pages>
  <Words>194</Words>
  <Characters>1106</Characters>
  <Lines>9</Lines>
  <Paragraphs>2</Paragraphs>
  <TotalTime>0</TotalTime>
  <ScaleCrop>false</ScaleCrop>
  <LinksUpToDate>false</LinksUpToDate>
  <CharactersWithSpaces>1298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2014-09-17T02:13:00Z</dcterms:created>
  <dc:creator>master khan</dc:creator>
  <cp:lastModifiedBy>master khan</cp:lastModifiedBy>
  <cp:lastPrinted>2013-08-16T09:13:00Z</cp:lastPrinted>
  <dcterms:modified xsi:type="dcterms:W3CDTF">2020-09-28T03:31:53Z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